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A0C8" w14:textId="720C9609" w:rsidR="00FD2F59" w:rsidRPr="00FD2F59" w:rsidRDefault="00FD2F59" w:rsidP="00FD2F59">
      <w:pPr>
        <w:pStyle w:val="p1"/>
        <w:rPr>
          <w:rFonts w:ascii="Gill Sans MT" w:hAnsi="Gill Sans MT"/>
          <w:b/>
          <w:bCs/>
          <w:sz w:val="32"/>
          <w:szCs w:val="32"/>
        </w:rPr>
      </w:pPr>
      <w:r w:rsidRPr="00FD2F59">
        <w:rPr>
          <w:rFonts w:ascii="Gill Sans MT" w:hAnsi="Gill Sans MT"/>
          <w:b/>
          <w:bCs/>
          <w:sz w:val="32"/>
          <w:szCs w:val="32"/>
        </w:rPr>
        <w:t>H. Walton, Writing Methods in Theological Reflection. London: SCM</w:t>
      </w:r>
      <w:r>
        <w:rPr>
          <w:rFonts w:ascii="Gill Sans MT" w:hAnsi="Gill Sans MT"/>
          <w:b/>
          <w:bCs/>
          <w:sz w:val="32"/>
          <w:szCs w:val="32"/>
        </w:rPr>
        <w:t xml:space="preserve"> </w:t>
      </w:r>
      <w:r w:rsidRPr="00FD2F59">
        <w:rPr>
          <w:rFonts w:ascii="Gill Sans MT" w:hAnsi="Gill Sans MT"/>
          <w:b/>
          <w:bCs/>
          <w:sz w:val="32"/>
          <w:szCs w:val="32"/>
        </w:rPr>
        <w:t>Press, 2014. Pp. xxxiv, 199. Pb. £25. ISBN 978-0-334-05185-5.</w:t>
      </w:r>
    </w:p>
    <w:p w14:paraId="0A4C7D75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</w:p>
    <w:p w14:paraId="157CD0EE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Most readers of this journal will be collectors of books. They are necessary</w:t>
      </w:r>
    </w:p>
    <w:p w14:paraId="7067FDBE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tools of our trade as teachers, seekers after wisdom, researchers and</w:t>
      </w:r>
    </w:p>
    <w:p w14:paraId="607E6692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writers. Having recently moved house, I found the task of downsizing a</w:t>
      </w:r>
    </w:p>
    <w:p w14:paraId="6C31D550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library certainly a demanding judgment. For example, it was relatively easy</w:t>
      </w:r>
    </w:p>
    <w:p w14:paraId="4ED15BF1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to let go of some cookery books. With very few exceptions, most of them</w:t>
      </w:r>
    </w:p>
    <w:p w14:paraId="50C10C62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were simply not useful. Some of the recipes looked attractive but were much</w:t>
      </w:r>
    </w:p>
    <w:p w14:paraId="1904F1A8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more complicated to prepare and deliver in ever-increasingly busy lives.</w:t>
      </w:r>
    </w:p>
    <w:p w14:paraId="6DB77CA4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Apply this analogy to our theology libraries: which of these books have</w:t>
      </w:r>
    </w:p>
    <w:p w14:paraId="33358BC7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abiding value? How many of the books organised on our shelves are of</w:t>
      </w:r>
    </w:p>
    <w:p w14:paraId="3CAD3819" w14:textId="112B8311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any practical use? There are some indications in the developing culture</w:t>
      </w:r>
    </w:p>
    <w:p w14:paraId="5C4DF45E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of the Church that theology is not a tool to be drawn on for the enlarging</w:t>
      </w:r>
    </w:p>
    <w:p w14:paraId="35A49975" w14:textId="77777777" w:rsid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of our minds and the nurture of human flourishing.</w:t>
      </w:r>
    </w:p>
    <w:p w14:paraId="4F1186D0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</w:p>
    <w:p w14:paraId="069FF925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Heather Walton is one of the most innovative of practical theologians</w:t>
      </w:r>
    </w:p>
    <w:p w14:paraId="4225B989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and this volume of collected pieces of writing comes out of her teaching</w:t>
      </w:r>
    </w:p>
    <w:p w14:paraId="3C4BA658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in the University of Glasgow and especially her influential (I think)</w:t>
      </w:r>
    </w:p>
    <w:p w14:paraId="3D395530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co-directorship of the Centre for Literature, Theology and the Arts.</w:t>
      </w:r>
    </w:p>
    <w:p w14:paraId="5B85D665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The book begins by acknowledging a wide range of influences (including</w:t>
      </w:r>
    </w:p>
    <w:p w14:paraId="387ED73B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particularly the development of a multi-centred doctorate in practical</w:t>
      </w:r>
    </w:p>
    <w:p w14:paraId="7513B38B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theology) and offers an excellent introduction to reflective theological</w:t>
      </w:r>
    </w:p>
    <w:p w14:paraId="0FDBD5C8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 xml:space="preserve">writing. Four parts </w:t>
      </w:r>
      <w:proofErr w:type="gramStart"/>
      <w:r w:rsidRPr="00FD2F59">
        <w:rPr>
          <w:rFonts w:ascii="Gill Sans MT" w:hAnsi="Gill Sans MT"/>
          <w:sz w:val="28"/>
          <w:szCs w:val="28"/>
        </w:rPr>
        <w:t>follow</w:t>
      </w:r>
      <w:proofErr w:type="gramEnd"/>
      <w:r w:rsidRPr="00FD2F59">
        <w:rPr>
          <w:rFonts w:ascii="Gill Sans MT" w:hAnsi="Gill Sans MT"/>
          <w:sz w:val="28"/>
          <w:szCs w:val="28"/>
        </w:rPr>
        <w:t>, dealing with auto-ethnography; journalling; life</w:t>
      </w:r>
    </w:p>
    <w:p w14:paraId="7FA51DEA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writing; and poetics, theology and practice. There are seventeen chapters,</w:t>
      </w:r>
    </w:p>
    <w:p w14:paraId="7C79860D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which are completed with a bibliography, and name and subject indices.</w:t>
      </w:r>
    </w:p>
    <w:p w14:paraId="5D189E14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Walton’s abilities to craft words and organise theory give this text a</w:t>
      </w:r>
    </w:p>
    <w:p w14:paraId="14753AC3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particular quality. The writing is engaged, earthed and seriously reflective</w:t>
      </w:r>
    </w:p>
    <w:p w14:paraId="705C07FB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as it grounds itself in the vulnerabilities and strengths of Walton’s own</w:t>
      </w:r>
    </w:p>
    <w:p w14:paraId="15AB0A6B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life (infertility, motherhood, politics, teaching and writing). In ecclesial</w:t>
      </w:r>
    </w:p>
    <w:p w14:paraId="5DBB6371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communities whose focus seems to be ever self-preoccupied and inward-</w:t>
      </w:r>
    </w:p>
    <w:p w14:paraId="78E2C535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looking, Walton demands that we consider the validity of religious</w:t>
      </w:r>
    </w:p>
    <w:p w14:paraId="2EB47652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discourse within an understanding of the complexities and ambiguities</w:t>
      </w:r>
    </w:p>
    <w:p w14:paraId="5C2BE933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of faith. Above all, she shows her readers how to integrate some of these</w:t>
      </w:r>
    </w:p>
    <w:p w14:paraId="1B9E3953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uncertainties through creative writing. She both models and embodies a</w:t>
      </w:r>
    </w:p>
    <w:p w14:paraId="2009D8EE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truthfulness which has energy and a life-affirming vibrancy. If the Church</w:t>
      </w:r>
    </w:p>
    <w:p w14:paraId="34D3E9A5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has a future, it may be that a poetic which is incarnational, public and</w:t>
      </w:r>
    </w:p>
    <w:p w14:paraId="40B727D9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subversive, can be part of reshaping an integrity and validity that might</w:t>
      </w:r>
    </w:p>
    <w:p w14:paraId="4D807F8E" w14:textId="77777777" w:rsid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be prophetic and transformative.</w:t>
      </w:r>
    </w:p>
    <w:p w14:paraId="01F8630D" w14:textId="77777777" w:rsid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</w:p>
    <w:p w14:paraId="65024C64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</w:p>
    <w:p w14:paraId="55AA4E9D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lastRenderedPageBreak/>
        <w:t>This is a good book and deserves its place on a carefully selected</w:t>
      </w:r>
    </w:p>
    <w:p w14:paraId="0196C9AF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bookshelf of key volumes in practical theology. In all texts relating to</w:t>
      </w:r>
    </w:p>
    <w:p w14:paraId="10C40097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theological reflection, there is a significant ‘so what?’ factor. Despite the</w:t>
      </w:r>
    </w:p>
    <w:p w14:paraId="4A57554E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development of the discipline over the past ten years, there remains some</w:t>
      </w:r>
    </w:p>
    <w:p w14:paraId="13707C60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disconnection with putting theology into practice through an integrated</w:t>
      </w:r>
    </w:p>
    <w:p w14:paraId="5D602160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approach to the interrelationships between life experience, reflection</w:t>
      </w:r>
    </w:p>
    <w:p w14:paraId="4BED4A0C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and theology. Without skilled presence and facilitation, we may run into</w:t>
      </w:r>
    </w:p>
    <w:p w14:paraId="693E96F5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the danger of sending the discipline into an enforced early retirement. To</w:t>
      </w:r>
    </w:p>
    <w:p w14:paraId="213224B9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return to my analogy, theology runs the risk of remaining a tempting set of</w:t>
      </w:r>
    </w:p>
    <w:p w14:paraId="1BB7A061" w14:textId="640B5721" w:rsidR="00FD2F59" w:rsidRDefault="00FD2F59" w:rsidP="00FD2F59">
      <w:pPr>
        <w:pStyle w:val="p1"/>
        <w:rPr>
          <w:rStyle w:val="s2"/>
          <w:rFonts w:ascii="Gill Sans MT" w:eastAsiaTheme="majorEastAsia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recipes which seem incapable of being ‘cook-able’ into nourishing meals.</w:t>
      </w:r>
    </w:p>
    <w:p w14:paraId="0FF7CBF5" w14:textId="77777777" w:rsidR="00FD2F59" w:rsidRDefault="00FD2F59" w:rsidP="00FD2F59">
      <w:pPr>
        <w:pStyle w:val="p1"/>
        <w:rPr>
          <w:rStyle w:val="s2"/>
          <w:rFonts w:ascii="Gill Sans MT" w:eastAsiaTheme="majorEastAsia" w:hAnsi="Gill Sans MT"/>
          <w:sz w:val="28"/>
          <w:szCs w:val="28"/>
        </w:rPr>
      </w:pPr>
    </w:p>
    <w:p w14:paraId="4421C3FD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</w:p>
    <w:p w14:paraId="6E90748A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Unrealistically, therefore, what might be needed is the empowering</w:t>
      </w:r>
    </w:p>
    <w:p w14:paraId="36D3C107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and releasing educational skill of Walton in the room to bring the book</w:t>
      </w:r>
    </w:p>
    <w:p w14:paraId="74A0FCC9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alive. Accompaniment and facilitation become key parts of enabling the</w:t>
      </w:r>
    </w:p>
    <w:p w14:paraId="5F0EA3A7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practice of theological reflection. Walton offers us a guide, but there is a</w:t>
      </w:r>
    </w:p>
    <w:p w14:paraId="4FA92871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great deal of further work to be done to empower a wiser, creative and</w:t>
      </w:r>
    </w:p>
    <w:p w14:paraId="27814AAC" w14:textId="77777777" w:rsid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integrated practical theology.</w:t>
      </w:r>
    </w:p>
    <w:p w14:paraId="4DFFA936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</w:p>
    <w:p w14:paraId="261A773C" w14:textId="77777777" w:rsidR="00FD2F59" w:rsidRPr="00FD2F59" w:rsidRDefault="00FD2F59" w:rsidP="00FD2F59">
      <w:pPr>
        <w:pStyle w:val="p1"/>
        <w:rPr>
          <w:rFonts w:ascii="Gill Sans MT" w:hAnsi="Gill Sans MT"/>
          <w:sz w:val="28"/>
          <w:szCs w:val="28"/>
        </w:rPr>
      </w:pPr>
      <w:r w:rsidRPr="00FD2F59">
        <w:rPr>
          <w:rFonts w:ascii="Gill Sans MT" w:hAnsi="Gill Sans MT"/>
          <w:sz w:val="28"/>
          <w:szCs w:val="28"/>
        </w:rPr>
        <w:t>Sarum College, Salisbury James Woodward</w:t>
      </w:r>
    </w:p>
    <w:p w14:paraId="3F2674D6" w14:textId="77777777" w:rsidR="00AF618A" w:rsidRPr="00FD2F59" w:rsidRDefault="00AF618A">
      <w:pPr>
        <w:rPr>
          <w:rFonts w:ascii="Gill Sans MT" w:hAnsi="Gill Sans MT"/>
          <w:sz w:val="28"/>
          <w:szCs w:val="28"/>
        </w:rPr>
      </w:pPr>
    </w:p>
    <w:sectPr w:rsidR="00AF618A" w:rsidRPr="00FD2F59" w:rsidSect="008D0A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59"/>
    <w:rsid w:val="002252D0"/>
    <w:rsid w:val="003D520A"/>
    <w:rsid w:val="003F2192"/>
    <w:rsid w:val="004774F6"/>
    <w:rsid w:val="008D0A30"/>
    <w:rsid w:val="00AF618A"/>
    <w:rsid w:val="00E74044"/>
    <w:rsid w:val="00F123CB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326ED"/>
  <w15:chartTrackingRefBased/>
  <w15:docId w15:val="{CD88F28C-0536-F54E-BE41-C26A9351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F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F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F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F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F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F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D2F59"/>
    <w:rPr>
      <w:rFonts w:ascii="Helvetica" w:eastAsia="Times New Roman" w:hAnsi="Helvetica" w:cs="Times New Roman"/>
      <w:color w:val="000000"/>
      <w:kern w:val="0"/>
      <w:sz w:val="18"/>
      <w:szCs w:val="18"/>
      <w:lang w:eastAsia="en-GB"/>
      <w14:ligatures w14:val="none"/>
    </w:rPr>
  </w:style>
  <w:style w:type="paragraph" w:customStyle="1" w:styleId="p2">
    <w:name w:val="p2"/>
    <w:basedOn w:val="Normal"/>
    <w:rsid w:val="00FD2F59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FD2F59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DefaultParagraphFont"/>
    <w:rsid w:val="00FD2F59"/>
    <w:rPr>
      <w:rFonts w:ascii="Helvetica" w:hAnsi="Helvetic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Woodward</dc:creator>
  <cp:keywords/>
  <dc:description/>
  <cp:lastModifiedBy>James Woodward</cp:lastModifiedBy>
  <cp:revision>1</cp:revision>
  <dcterms:created xsi:type="dcterms:W3CDTF">2025-05-29T10:32:00Z</dcterms:created>
  <dcterms:modified xsi:type="dcterms:W3CDTF">2025-05-29T11:17:00Z</dcterms:modified>
</cp:coreProperties>
</file>